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t>Iktatószám: IV-88/1/2021</w:t>
      </w:r>
    </w:p>
    <w:p>
      <w:pPr>
        <w:jc w:val="center"/>
      </w:pPr>
      <w:r>
        <w:rPr>
          <w:b/>
          <w:sz w:val="28"/>
        </w:rPr>
        <w:t>Belváros-Lipótváros</w:t>
        <w:br/>
      </w:r>
      <w:r>
        <w:rPr>
          <w:b/>
          <w:sz w:val="28"/>
        </w:rPr>
        <w:t>Budapest Főváros V. kerület Önkormányzata</w:t>
        <w:br/>
      </w:r>
      <w:r>
        <w:rPr>
          <w:b/>
          <w:sz w:val="28"/>
        </w:rPr>
        <w:t>Közterület-felügyelet</w:t>
        <w:br/>
      </w:r>
      <w:r>
        <w:rPr>
          <w:b/>
          <w:sz w:val="32"/>
        </w:rPr>
        <w:t>SZABÁLYZATA</w:t>
        <w:br/>
      </w:r>
      <w:r>
        <w:rPr>
          <w:b/>
          <w:sz w:val="26"/>
        </w:rPr>
        <w:t>az</w:t>
        <w:br/>
      </w:r>
      <w:r>
        <w:rPr>
          <w:b/>
          <w:sz w:val="26"/>
        </w:rPr>
        <w:t>ELEKTRONIKUS MEGFIGYELŐRENDSZER (KAMERÁS MEGFIGYELŐ RENDSZER)</w:t>
        <w:br/>
        <w:t>ÜZEMELTETÉSÉRŐL</w:t>
      </w:r>
    </w:p>
    <w:p>
      <w:r>
        <w:br w:type="page"/>
      </w:r>
    </w:p>
    <w:p>
      <w:pPr>
        <w:pStyle w:val="Heading1"/>
      </w:pPr>
      <w:r>
        <w:t>Kamerás megfigyelő rendszer adatvédelmi és adatkezelési szabályzata</w:t>
      </w:r>
    </w:p>
    <w:tbl>
      <w:tblPr>
        <w:tblStyle w:val="TableGrid"/>
        <w:tblW w:type="auto" w:w="0"/>
        <w:jc w:val="center"/>
        <w:tblLook w:firstColumn="1" w:firstRow="1" w:lastColumn="0" w:lastRow="0" w:noHBand="0" w:noVBand="1" w:val="04A0"/>
      </w:tblPr>
      <w:tblGrid>
        <w:gridCol w:w="4706"/>
        <w:gridCol w:w="4706"/>
      </w:tblGrid>
      <w:tr>
        <w:trPr>
          <w:tblHeader w:val="true"/>
        </w:trPr>
        <w:tc>
          <w:tcPr>
            <w:tcW w:type="dxa" w:w="4706"/>
            <w:vAlign w:val="center"/>
            <w:shd w:fill="F2F2F2"/>
          </w:tcPr>
          <w:p>
            <w:r/>
            <w:r>
              <w:rPr>
                <w:b/>
              </w:rPr>
              <w:t>Adatkezelő neve:</w:t>
            </w:r>
          </w:p>
        </w:tc>
        <w:tc>
          <w:tcPr>
            <w:tcW w:type="dxa" w:w="4706"/>
            <w:vAlign w:val="center"/>
            <w:shd w:fill="F2F2F2"/>
          </w:tcPr>
          <w:p>
            <w:r/>
            <w:r>
              <w:rPr>
                <w:b w:val="0"/>
              </w:rPr>
              <w:t>Belváros-Lipótváros Budapest Főváros V. kerület Önkormányzata Közterület-felügyelet</w:t>
            </w:r>
          </w:p>
        </w:tc>
      </w:tr>
      <w:tr>
        <w:tc>
          <w:tcPr>
            <w:tcW w:type="dxa" w:w="4706"/>
            <w:vAlign w:val="center"/>
          </w:tcPr>
          <w:p>
            <w:r/>
            <w:r>
              <w:rPr>
                <w:b/>
              </w:rPr>
              <w:t>Székhely:</w:t>
            </w:r>
          </w:p>
        </w:tc>
        <w:tc>
          <w:tcPr>
            <w:tcW w:type="dxa" w:w="4706"/>
            <w:vAlign w:val="center"/>
          </w:tcPr>
          <w:p>
            <w:r/>
            <w:r>
              <w:rPr>
                <w:b w:val="0"/>
              </w:rPr>
              <w:t>1054 Budapest Bajcsy-Zsilinszky út 34.</w:t>
            </w:r>
          </w:p>
        </w:tc>
      </w:tr>
      <w:tr>
        <w:tc>
          <w:tcPr>
            <w:tcW w:type="dxa" w:w="4706"/>
            <w:vAlign w:val="center"/>
          </w:tcPr>
          <w:p>
            <w:r/>
            <w:r>
              <w:rPr>
                <w:b/>
              </w:rPr>
              <w:t>Adószám:</w:t>
            </w:r>
          </w:p>
        </w:tc>
        <w:tc>
          <w:tcPr>
            <w:tcW w:type="dxa" w:w="4706"/>
            <w:vAlign w:val="center"/>
          </w:tcPr>
          <w:p>
            <w:r/>
            <w:r>
              <w:rPr>
                <w:b w:val="0"/>
              </w:rPr>
              <w:t>15767123-2-41</w:t>
            </w:r>
          </w:p>
        </w:tc>
      </w:tr>
      <w:tr>
        <w:tc>
          <w:tcPr>
            <w:tcW w:type="dxa" w:w="4706"/>
            <w:vAlign w:val="center"/>
          </w:tcPr>
          <w:p>
            <w:r/>
            <w:r>
              <w:rPr>
                <w:b/>
              </w:rPr>
              <w:t>Telefonszám:</w:t>
            </w:r>
          </w:p>
        </w:tc>
        <w:tc>
          <w:tcPr>
            <w:tcW w:type="dxa" w:w="4706"/>
            <w:vAlign w:val="center"/>
          </w:tcPr>
          <w:p>
            <w:r/>
            <w:r>
              <w:rPr>
                <w:b w:val="0"/>
              </w:rPr>
              <w:t>(06-1) 872-7593</w:t>
            </w:r>
          </w:p>
        </w:tc>
      </w:tr>
      <w:tr>
        <w:tc>
          <w:tcPr>
            <w:tcW w:type="dxa" w:w="4706"/>
            <w:vAlign w:val="center"/>
          </w:tcPr>
          <w:p>
            <w:r/>
            <w:r>
              <w:rPr>
                <w:b/>
              </w:rPr>
              <w:t>E-mail cím:</w:t>
            </w:r>
          </w:p>
        </w:tc>
        <w:tc>
          <w:tcPr>
            <w:tcW w:type="dxa" w:w="4706"/>
            <w:vAlign w:val="center"/>
          </w:tcPr>
          <w:p>
            <w:r/>
            <w:r>
              <w:rPr>
                <w:b w:val="0"/>
              </w:rPr>
              <w:t>kozteruletfelugyelet@belvaros-lipotvaros.hu</w:t>
            </w:r>
          </w:p>
        </w:tc>
      </w:tr>
      <w:tr>
        <w:tc>
          <w:tcPr>
            <w:tcW w:type="dxa" w:w="4706"/>
            <w:vAlign w:val="center"/>
          </w:tcPr>
          <w:p>
            <w:r/>
            <w:r>
              <w:rPr>
                <w:b/>
              </w:rPr>
              <w:t>Weboldal megnevezése, címe:</w:t>
            </w:r>
          </w:p>
        </w:tc>
        <w:tc>
          <w:tcPr>
            <w:tcW w:type="dxa" w:w="4706"/>
            <w:vAlign w:val="center"/>
          </w:tcPr>
          <w:p>
            <w:r/>
            <w:r>
              <w:rPr>
                <w:b w:val="0"/>
              </w:rPr>
              <w:t>https://blkf.hu/hu/</w:t>
            </w:r>
          </w:p>
        </w:tc>
      </w:tr>
      <w:tr>
        <w:tc>
          <w:tcPr>
            <w:tcW w:type="dxa" w:w="4706"/>
            <w:vAlign w:val="center"/>
          </w:tcPr>
          <w:p>
            <w:r/>
            <w:r>
              <w:rPr>
                <w:b/>
              </w:rPr>
              <w:t>Az adatkezelési tájékoztató és a jelen szabályzat elérhetősége:</w:t>
            </w:r>
          </w:p>
        </w:tc>
        <w:tc>
          <w:tcPr>
            <w:tcW w:type="dxa" w:w="4706"/>
            <w:vAlign w:val="center"/>
          </w:tcPr>
          <w:p>
            <w:r/>
            <w:r>
              <w:rPr>
                <w:b w:val="0"/>
              </w:rPr>
              <w:t>A Felügyelet székhelyén, ügyfélszolgálatán kifüggesztve papír alapon, illetve elektronikusan a Felügyelet honlapján/weboldalán.</w:t>
            </w:r>
          </w:p>
        </w:tc>
      </w:tr>
      <w:tr>
        <w:tc>
          <w:tcPr>
            <w:tcW w:type="dxa" w:w="4706"/>
            <w:vAlign w:val="center"/>
          </w:tcPr>
          <w:p>
            <w:r/>
            <w:r>
              <w:rPr>
                <w:b/>
              </w:rPr>
              <w:t>A szabályzat tartalmáért felelős személy:</w:t>
            </w:r>
          </w:p>
        </w:tc>
        <w:tc>
          <w:tcPr>
            <w:tcW w:type="dxa" w:w="4706"/>
            <w:vAlign w:val="center"/>
          </w:tcPr>
          <w:p>
            <w:r/>
            <w:r>
              <w:rPr>
                <w:b w:val="0"/>
              </w:rPr>
              <w:t>Molnár Gergely igazgató</w:t>
            </w:r>
          </w:p>
        </w:tc>
      </w:tr>
      <w:tr>
        <w:tc>
          <w:tcPr>
            <w:tcW w:type="dxa" w:w="4706"/>
            <w:vAlign w:val="center"/>
          </w:tcPr>
          <w:p>
            <w:r/>
            <w:r>
              <w:rPr>
                <w:b/>
              </w:rPr>
              <w:t>A szabályzat hatályba lépésének dátuma:</w:t>
            </w:r>
          </w:p>
        </w:tc>
        <w:tc>
          <w:tcPr>
            <w:tcW w:type="dxa" w:w="4706"/>
            <w:vAlign w:val="center"/>
          </w:tcPr>
          <w:p>
            <w:r/>
            <w:r>
              <w:rPr>
                <w:b w:val="0"/>
              </w:rPr>
              <w:t>2019. október 28.</w:t>
            </w:r>
          </w:p>
        </w:tc>
      </w:tr>
      <w:tr>
        <w:tc>
          <w:tcPr>
            <w:tcW w:type="dxa" w:w="4706"/>
            <w:vAlign w:val="center"/>
          </w:tcPr>
          <w:p>
            <w:r/>
            <w:r>
              <w:rPr>
                <w:b/>
              </w:rPr>
              <w:t>A Szabályzat - Adatvédelmi Szabályzat módosítása miatti - módosításának dátuma:</w:t>
            </w:r>
          </w:p>
        </w:tc>
        <w:tc>
          <w:tcPr>
            <w:tcW w:type="dxa" w:w="4706"/>
            <w:vAlign w:val="center"/>
          </w:tcPr>
          <w:p>
            <w:r/>
            <w:r>
              <w:rPr>
                <w:b w:val="0"/>
              </w:rPr>
              <w:t>2021. november 22.</w:t>
            </w:r>
          </w:p>
        </w:tc>
      </w:tr>
    </w:tbl>
    <w:p>
      <w:r>
        <w:t>Ez a szabályzat a kamerás megfigyelő rendszer által a természetes személyeknek a személyes adatok kezelése tekintetében történő védelmére és a személyes adatok szabad áramlására vonatkozó szabályokat állapít meg. A szabályzatban foglaltakat kell alkalmazni a megfigyelő rendszerrel végzett konkrét adatkezelési tevékenységek során, valamint az adatkezelést szabályozó utasítások és tájékoztatások kiadásakor.</w:t>
      </w:r>
    </w:p>
    <w:p>
      <w:pPr>
        <w:pStyle w:val="Heading2"/>
      </w:pPr>
      <w:r>
        <w:t>Adatvédelmi tisztviselő</w:t>
      </w:r>
    </w:p>
    <w:tbl>
      <w:tblPr>
        <w:tblStyle w:val="TableGrid"/>
        <w:tblW w:type="auto" w:w="0"/>
        <w:tblLook w:firstColumn="1" w:firstRow="1" w:lastColumn="0" w:lastRow="0" w:noHBand="0" w:noVBand="1" w:val="04A0"/>
      </w:tblPr>
      <w:tblGrid>
        <w:gridCol w:w="4706"/>
        <w:gridCol w:w="4706"/>
      </w:tblGrid>
      <w:tr>
        <w:trPr>
          <w:tblHeader w:val="true"/>
        </w:trPr>
        <w:tc>
          <w:tcPr>
            <w:tcW w:type="dxa" w:w="4706"/>
            <w:vAlign w:val="center"/>
          </w:tcPr>
          <w:p>
            <w:r/>
            <w:r>
              <w:rPr>
                <w:b/>
              </w:rPr>
              <w:t>Neve:</w:t>
            </w:r>
          </w:p>
        </w:tc>
        <w:tc>
          <w:tcPr>
            <w:tcW w:type="dxa" w:w="4706"/>
            <w:vAlign w:val="center"/>
          </w:tcPr>
          <w:p>
            <w:r/>
            <w:r>
              <w:rPr>
                <w:b w:val="0"/>
              </w:rPr>
              <w:t>Sipos Győző (Nádor Rendszerház Kft.)</w:t>
            </w:r>
          </w:p>
        </w:tc>
      </w:tr>
      <w:tr>
        <w:tc>
          <w:tcPr>
            <w:tcW w:type="dxa" w:w="4706"/>
            <w:vAlign w:val="center"/>
          </w:tcPr>
          <w:p>
            <w:r/>
            <w:r>
              <w:rPr>
                <w:b/>
              </w:rPr>
              <w:t>Elérhetősége:</w:t>
            </w:r>
          </w:p>
        </w:tc>
        <w:tc>
          <w:tcPr>
            <w:tcW w:type="dxa" w:w="4706"/>
            <w:vAlign w:val="center"/>
          </w:tcPr>
          <w:p>
            <w:r/>
            <w:r>
              <w:rPr>
                <w:b w:val="0"/>
              </w:rPr>
              <w:t>adatvedelem.blkf@belvaros-lipotvaros.hu</w:t>
            </w:r>
          </w:p>
        </w:tc>
      </w:tr>
    </w:tbl>
    <w:p>
      <w:pPr>
        <w:jc w:val="center"/>
      </w:pPr>
      <w:r>
        <w:t>Belváros-Lipótváros Budapest Főváros V. kerület Önkormányzata Közterület-felügyelet képv. Molnár Gergely igazgató - Adatkezelő -</w:t>
      </w:r>
    </w:p>
    <w:p>
      <w:r>
        <w:br w:type="page"/>
      </w:r>
    </w:p>
    <w:p>
      <w:pPr>
        <w:pStyle w:val="Heading1"/>
      </w:pPr>
      <w:r>
        <w:t>Tartalomjegyzék</w:t>
      </w:r>
    </w:p>
    <w:p>
      <w:r>
        <w:t>A tartalomjegyzék Wordben frissíthető: jobb kattintás a mezőn, majd „Mező frissítése”.</w:t>
      </w:r>
    </w:p>
    <w:p>
      <w:r>
        <w:fldChar w:fldCharType="begin"/>
        <w:instrText xml:space="preserve">TOC \o "1-3" \h \z \u</w:instrText>
        <w:fldChar w:fldCharType="separate"/>
        <w:fldChar w:fldCharType="end"/>
      </w:r>
    </w:p>
    <w:p>
      <w:r>
        <w:br w:type="page"/>
      </w:r>
    </w:p>
    <w:p>
      <w:pPr>
        <w:pStyle w:val="Heading1"/>
      </w:pPr>
      <w:r>
        <w:t>Bevezetés</w:t>
      </w:r>
    </w:p>
    <w:p>
      <w:r>
        <w:t>Az elektronikus megfigyelőrendszer alkalmazásának elsődleges célja az emberi élet, testi épség, személyi szabadság védelme, illetve a vagyonvédelem, a jogsértések megelőzése, észlelése és bizonyítása, valamint az esetlegesen előforduló munkahelyi balesetek körülményeinek vizsgálata. A fenti célok érdekében a Felügyelet kamerás megfigyelőrendszert alkalmaz, de a kamerás megfigyelés az emberi méltóság tiszteletben tartása mellett történik. A Felügyelet teljes mértékben meg kíván felelni a személyes adatok kezelésére vonatkozó jogszabályi előírásoknak, különösen az Európai Parlament és a Tanács (EU) 2016/679 általános adatvédelmi rendeletében (a továbbiakban: GDPR) foglaltaknak.</w:t>
      </w:r>
    </w:p>
    <w:p>
      <w:pPr>
        <w:pStyle w:val="Heading1"/>
      </w:pPr>
      <w:r>
        <w:t>A szabályzat célja</w:t>
      </w:r>
    </w:p>
    <w:p>
      <w:r>
        <w:t>E szabályzat célja, hogy harmonizálja az adatkezelési tevékenységek tekintetében a Felügyelet egyéb belső szabályzatainak előírásait a természetes személyek alapvető jogainak és szabadságainak védelme érdekében, valamint biztosítsa a személyes adatok megfelelő kezelését.</w:t>
      </w:r>
    </w:p>
    <w:p>
      <w:r>
        <w:t>A szabályzat kiadásának fontos célja továbbá, hogy megismerésével és betartásával a Felügyelet alkalmazottai képesek legyenek a természetes személyek adatainak kezelését jogszerűen végezni.</w:t>
      </w:r>
    </w:p>
    <w:p>
      <w:r>
        <w:t>Jelen Szabályzat célja az is, hogy a Belváros-Lipótváros Budapest Főváros V. kerületi Önkormányzata Közterület-felügyelet, (a továbbiakban: Felügyelet vagy Adatkezelő) üzemeltetett Elektronikus Megfigyelőrendszer működésének jellemzőit, a kamerák által készített képfelvételek rögzítését, felhasználását és törlését, valamint az Elektronikus Megfigyelőrendszerrel érintett személyek jogait, igényérvényesítési lehetőségeit az információs önrendelkezési jogról és az információszabadságról szóló 2011. évi CXII. törvény (a továbbiakban: Infotv.), a Munka Törvénykönyvéről szóló 2012. évi I. törvény (a továbbiakban: Mt.), valamint a személyes adatok védelmében született egyéb hazai és európai uniós jogszabályok - különösen a GDPR - rendelkezéseivel összhangban meghatározza.</w:t>
      </w:r>
    </w:p>
    <w:p>
      <w:pPr>
        <w:pStyle w:val="Heading1"/>
      </w:pPr>
      <w:r>
        <w:t>A Szabályzat hatálya</w:t>
      </w:r>
    </w:p>
    <w:p>
      <w:pPr>
        <w:pStyle w:val="ListNumber"/>
      </w:pPr>
      <w:r>
        <w:rPr>
          <w:i/>
        </w:rPr>
        <w:t>Személyi hatály</w:t>
      </w:r>
    </w:p>
    <w:p>
      <w:pPr>
        <w:ind w:left="425"/>
      </w:pPr>
      <w:r>
        <w:t>Jelen Szabályzat hatálya kiterjed az Adatkezelővel foglalkoztatotti viszonyban álló minden foglalkoztatottra (a továbbiakban: foglalkoztatott).</w:t>
      </w:r>
    </w:p>
    <w:p>
      <w:pPr>
        <w:pStyle w:val="ListNumber"/>
      </w:pPr>
      <w:r>
        <w:rPr>
          <w:i/>
        </w:rPr>
        <w:t>Területi hatály</w:t>
      </w:r>
    </w:p>
    <w:p>
      <w:pPr>
        <w:ind w:left="425"/>
      </w:pPr>
      <w:r>
        <w:t>Jelen Szabályzat a Felügyelet székhelyére, ügyfélszolgálatára terjed ki.</w:t>
      </w:r>
    </w:p>
    <w:p>
      <w:pPr>
        <w:pStyle w:val="ListNumber"/>
      </w:pPr>
      <w:r>
        <w:rPr>
          <w:i/>
        </w:rPr>
        <w:t>Időbeli hatály</w:t>
      </w:r>
    </w:p>
    <w:p>
      <w:pPr>
        <w:ind w:left="425"/>
      </w:pPr>
      <w:r>
        <w:t>Jelen Szabályzat aláírásának napjától, visszavonásáig érvényes. Az Adatkezelő fenntartja a jogot, hogy a Szabályzatot a jövőre nézve egyoldalúan, korlátozások nélkül módosítsa, vagy visszavonja.</w:t>
      </w:r>
    </w:p>
    <w:p>
      <w:pPr>
        <w:pStyle w:val="Heading1"/>
      </w:pPr>
      <w:r>
        <w:t>Az adatkezelés irányelvei</w:t>
      </w:r>
    </w:p>
    <w:p>
      <w:r>
        <w:t>A kamerarendszerrel analóg-, vagy digitális úton történő megfigyelés alkalmas arra, hogy a természetes személyek magánszférájába behatoljon, intim élethelyzeteket rögzítsen akár olyanképpen, hogy az érintett nem is tud a felvételről, vagy nincs abban a helyzetben, hogy mérlegelhesse az ilyen felvételek megengedhetőségét és azok következményeit.</w:t>
      </w:r>
    </w:p>
    <w:p>
      <w:r>
        <w:t>Az így végzett megfigyelés a magánélethez való jog sérelmén túl - szélesebb és mélyebb értelemben - az emberi méltósághoz való jogot is érintheti.</w:t>
      </w:r>
    </w:p>
    <w:p>
      <w:r>
        <w:t>Biztosítani kell a magánszféra intim jellegét, azt, hogy az érintett akarata ellenére mások oda ne hatolhassanak be, illetőleg be se tekinthessenek. Ennek megfelelően nem alkalmazható elektronikus megfigyelőrendszer olyan helyen, ahol a megfigyelés az emberi méltóságot sértheti, így különösen mosdóban, illemhelyen, öltözőben és étkezőben.</w:t>
      </w:r>
    </w:p>
    <w:p>
      <w:r>
        <w:t>Biztosítani kell, hogy az önrendelkezési szabadság, vagy a testi-személyi integritáshoz való jog ne sérüljön.</w:t>
      </w:r>
    </w:p>
    <w:p>
      <w:r>
        <w:t>A kép- és hangfelvételek készítését jogszerűen és tisztességesen, valamint az érintett számára átlátható módon kell végezni. A kép- és hangfelvételek készítése csak meghatározott, egyértelmű és jogszerű célból történhet.</w:t>
      </w:r>
    </w:p>
    <w:p>
      <w:r>
        <w:t>A kép- és hangfelvételek készítésének célja megfelelő és releváns legyen, és csak a szükséges mértékű lehet. A kép- és hangfelvételek tárolásának olyan formában kell történnie, hogy az érintettek azonosítását csak szükséges ideig tegye lehetővé.</w:t>
      </w:r>
    </w:p>
    <w:p>
      <w:r>
        <w:t>A kép- és hangfelvételek 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w:t>
      </w:r>
    </w:p>
    <w:p>
      <w:r>
        <w:t>Az adatvédelem elveit minden azonosított vagy azonosítható természetes személyre vonatkozó információ esetében alkalmazni kell.</w:t>
      </w:r>
    </w:p>
    <w:p>
      <w:r>
        <w:t>A személyes adatokat - ideértve a kép- és hangfelvételek adatait - olyan módon kell kezelni, amely biztosítja azok megfelelő szintű biztonságát és bizalmas kezelését, többek között annak érdekében, hogy megakadályozza a személyes adatokhoz és a személyes adatok kezeléséhez használt eszközökhöz való jogosulatlan hozzáférést, illetve azok jogosulatlan felhasználását.</w:t>
      </w:r>
    </w:p>
    <w:p>
      <w:r>
        <w:t>A Felügyelet adatkezelést végző alkalmazottja fegyelmi, kártérítési, szabálysértési és büntetőjogi felelősséggel tartozik a személyes adatok jogszerű kezeléséért.</w:t>
      </w:r>
    </w:p>
    <w:p>
      <w:pPr>
        <w:pStyle w:val="Heading1"/>
      </w:pPr>
      <w:r>
        <w:t>Az Elektronikus Megfigyelőrendszer (kamera) üzemeltetésének célja és jogalapja</w:t>
      </w:r>
    </w:p>
    <w:p>
      <w:r>
        <w:t>Az adatkezelés célja a Felügyelet által ellátott közfeladatokkal, a hatósági eljárások lefolytatásával összefüggésben kezelt adatok, illetve az e feladatok ellátását biztosító állami vagyon védelme érdekében szükséges intézkedések kialakítása. Az Elektronikus Megfigyelőrendszer üzemeltetésének és az annak során megvalósuló képrögzítésnek az elsődleges célja az emberi élet, a testi épség, valamint a vagyon védelme érdekében a jogsértések megelőzése, észlelése és bizonyítása, valamint az esetlegesen előforduló munkahelyi balesetek körülményeinek vizsgálata.</w:t>
      </w:r>
    </w:p>
    <w:p>
      <w:r>
        <w:t>Az Adatkezelő tulajdonában álló, és székhelyén, ügyfélszolgálatán található jelentős értékkel bíró vagyontárgyak, tárgyi eszközök, egyéb berendezések, gépek, felszerelések védelmének szükséges eszköze az Elektronikus Megfigyelőrendszer, mivel ennek üzemeltetése és a rögzített képfelvételek a jogsértések észlelésének, az elkövető tettenérésének, illetve a jogsértő cselekmények megelőzésének és ezek bizonyításának más módszerrel el nem érhető módját képezik.</w:t>
      </w:r>
    </w:p>
    <w:p>
      <w:r>
        <w:t>Az adatkezelés jogalapja: GDPR 6. cikk e) pontja, az adatkezelés közérdekű vagy az adatkezelőre ruházott közhatalmi jogosítvány gyakorlásának keretében végzett feladat végrehajtásához szükséges.</w:t>
      </w:r>
    </w:p>
    <w:p>
      <w:r>
        <w:t>Az Elektronikus Megfigyelőrendszer több kamerája kisebb mértékben a megfigyelt területen mozgó foglalkoztatottak mozgását is szükségképpen megfigyelheti, ha ezen személyek a kamera látószögében tartózkodnak. Az Elektronikus Megfigyelőrendszer azonban nem irányul kifejezetten a foglalkoztatottak munkavégzésének megfigyelésére. A foglalkoztatottak foglalkoztatási jogviszonyával összefüggő magatartásának esetleges és véletlenszerű megfigyelésének jogalapját különösen az Mt. 11/A. § (1) bek., 42. § (2) bek. a) pontja és egyéb jogszabályok képezik.</w:t>
      </w:r>
    </w:p>
    <w:p>
      <w:r>
        <w:t>A kamerás megfigyelő rendszer adatkezelésének jogszerűségéhez nem szükséges a megfigyelt személyek hozzájárulása, így a foglalkoztatottak hozzájárulása sem, de az érintetteket a kamerás megfigyelő rendszer alkalmazásáról előzetesen tájékoztatni kell.</w:t>
      </w:r>
    </w:p>
    <w:p>
      <w:pPr>
        <w:pStyle w:val="Heading1"/>
      </w:pPr>
      <w:r>
        <w:t>A felvételek felhasználási célja</w:t>
      </w:r>
    </w:p>
    <w:p>
      <w:r>
        <w:t>Az elektronikus megfigyelőrendszer felvételeinek felhasználása csak az adatkezelés konkrét céljának megfelelő események azonosítása vagy ellenőrzése végett lehetséges.</w:t>
      </w:r>
    </w:p>
    <w:p>
      <w:pPr>
        <w:pStyle w:val="Heading1"/>
      </w:pPr>
      <w:r>
        <w:t>A kamerák működési helye</w:t>
      </w:r>
    </w:p>
    <w:p>
      <w:r>
        <w:t>Az elektronikus megfigyelőrendszer kizárólag a BLKF tulajdonában (vagy a használatában) álló épületrészek, helyiségek és területek, illetőleg az ott történt események megfigyelésére szolgál.</w:t>
      </w:r>
    </w:p>
    <w:p>
      <w:r>
        <w:t>A Felügyelet kameráinak helyszíneit az 1. számú melléklet tartalmazza.</w:t>
      </w:r>
    </w:p>
    <w:p>
      <w:r>
        <w:t>Az itt felsorolt kamerák kizárólag az Adatkezelő tulajdonában, használatában álló fenti épületrészeket, helyiségeket és területeket, valamint az ott elhelyezett tárgyakat, berendezéseket figyelik meg, kizárólag személyvédelem és vagyonvédelem céljából. A foglalkoztatottak munkavégzése, valamint az intimszféra területéül szolgáló helyiségek (pl. öltöző, illemhelyiség, dohányzásra kijelölt terület és ebédlőhelyiség, illetve minden olyan helyiség, amely a foglalkoztatottak munkaközi szünetének eltöltése céljából van kijelölve) kívül esnek az Elektronikus Megfigyelőrendszer hatókörén.</w:t>
      </w:r>
    </w:p>
    <w:p>
      <w:r>
        <w:t>Az Adatkezelő az Elektronikus Megfigyelőrendszer alkalmazásáról az épületek bejáratánál, valamint a kamerákkal megfigyelt helyiségekben kifüggesztett tájékoztató útján felhívja a foglalkoztatottak, ügyfelek, eseti látogatók, partnerek figyelmét, hogy a nevezett területeken Elektronikus Megfigyelőrendszer működik.</w:t>
      </w:r>
    </w:p>
    <w:p>
      <w:r>
        <w:t>Figyelemmel arra, hogy a fentiekben felsorolt azonosítószámú kamera olyan területre irányul, ahol foglalkoztatottak és ügyfelek, illetve eseti látogatók egyaránt tartózkodhatnak és láthatóak, a vonatkozó törvényi előírás értelmében az elektronikai vagyonvédelmi rendszer által folytatott megfigyelésről, valamint a rendszer által rögzített személyes adatokat tartalmazó kép- és hangfelvétel készítésének, tárolásának céljáról, az adatkezelés jogalapjáról, a felvétel tárolásának helyéről, a tárolás időtartamáról, a rendszert alkalmazó (üzemeltető) személyéről, az adatok megismerésére jogosult személyek köréről, továbbá az információs önrendelkezési jogról és az információszabadságról szóló törvények az érintettek jogaira és érvényesítésük rendjére vonatkozó rendelkezéseiről ismertetőt, tájékoztatót kell készíteni és kifüggeszteni.</w:t>
      </w:r>
    </w:p>
    <w:p>
      <w:r>
        <w:t>Az Elektronikus Megfigyelőrendszer az Adatkezelő tulajdonában áll. Az Elektronikus Megfigyelőrendszer (ideértve a kamerákat is) üzemeltetését és karbantartását az Exam Consulting Kft. végzi a Belváros-Lipótváros Budapest Főváros V. kerület Önkormányzata Közterület-felügyelettel kötött szerződés alapján. A karbantartás során adatkezelés, adatfeldolgozás nem történik.</w:t>
      </w:r>
    </w:p>
    <w:p>
      <w:pPr>
        <w:pStyle w:val="Heading1"/>
      </w:pPr>
      <w:r>
        <w:t>A felvételek tárolási helye, ideje, módja</w:t>
      </w:r>
    </w:p>
    <w:p>
      <w:r>
        <w:t>A Felügyelet a kamerák felvételeit a működési helyen, 3 napig tárolja. Az adatok tárolási módja elektronikus. Az, akinek jogát vagy jogos érdekét a kép- és hangfelvétel, illetve más személyes adatának rögzítése érinti, kérheti, hogy az adatot annak kezelője ne semmisítse meg, illetve ne törölje.</w:t>
      </w:r>
    </w:p>
    <w:p>
      <w:pPr>
        <w:pStyle w:val="Heading1"/>
      </w:pPr>
      <w:r>
        <w:t>A felvételek visszanézése</w:t>
      </w:r>
    </w:p>
    <w:p>
      <w:r>
        <w:t>A kamerák képfelvételei rögzítésre kerülnek, az eszközbe beépített rögzítőn.</w:t>
      </w:r>
    </w:p>
    <w:p>
      <w:r>
        <w:t>A rögzített képfelvételeket kizárólag a Belváros-Lipótváros Budapest Főváros V. kerület Önkormányzata Közterület-felügyelet Igazgatója, Közterület-felügyeleti és Parkolás-ellenőrzési csoportvezetője és Elemző-értékelője jogosult megismerni, visszanézni és a személyes adatokat kezelni. Az érintett jogosult a rögzített képfelvételek megismerésére és visszanézésére.</w:t>
      </w:r>
    </w:p>
    <w:p>
      <w:r>
        <w:t>A rögzített képfelvételek felhasználás hiányában a rögzítéstől számított 3 (három) nap elteltével megsemmisítésre, illetve törlésre kerülnek, egyezően a Felügyelet adatvédelmi szabályzatának vonatkozó rendelkezéseivel is. Felhasználásnak a bírósági, vagy más hatósági eljárásban bizonyítékként történő felhasználás minősül.</w:t>
      </w:r>
    </w:p>
    <w:p>
      <w:r>
        <w:t>A foglalkoztatott, ha jogát vagy jogos érdekét a képfelvétel, illetve más személyes adatának rögzítése érinti, a képfelvétel, illetve más személyes adat rögzítésétől számított három napon belül kérheti az Adatkezelőtől, hogy az adatot az Adatkezelő ne semmisítse meg, illetve ne törölje.</w:t>
      </w:r>
    </w:p>
    <w:p>
      <w:r>
        <w:t>Bíróság vagy más hatóság megkeresésére az Adatkezelő a rögzített képfelvételt, valamint más személyes adatot a bíróságnak vagy a hatóságnak haladéktalanul megküldi. Amennyiben megkeresésre attól számított harminc napon belül, hogy a megsemmisítés mellőzését kérték, nem kerül sor, a rögzített képfelvételt, valamint más személyes adatot az Adatkezelő megsemmisíti, illetve törli.</w:t>
      </w:r>
    </w:p>
    <w:p>
      <w:r>
        <w:t>A rögzített képfelvételek, és az ezek során megismert személyes adatok kezelője a Felügyelet. A Felügyelet adatfeldolgozót nem alkalmaz. A kamerák rögzített felvételeit a fentiek szerint az alábbi személyek nézhetik vissza, meghatározott célból és meghatározott időközönként:</w:t>
      </w:r>
    </w:p>
    <w:tbl>
      <w:tblPr>
        <w:tblStyle w:val="TableGrid"/>
        <w:tblW w:type="auto" w:w="0"/>
        <w:jc w:val="center"/>
        <w:tblLook w:firstColumn="1" w:firstRow="1" w:lastColumn="0" w:lastRow="0" w:noHBand="0" w:noVBand="1" w:val="04A0"/>
      </w:tblPr>
      <w:tblGrid>
        <w:gridCol w:w="3137"/>
        <w:gridCol w:w="3137"/>
        <w:gridCol w:w="3137"/>
      </w:tblGrid>
      <w:tr>
        <w:trPr>
          <w:tblHeader w:val="true"/>
        </w:trPr>
        <w:tc>
          <w:tcPr>
            <w:tcW w:type="dxa" w:w="3137"/>
            <w:vAlign w:val="center"/>
            <w:shd w:fill="F2F2F2"/>
          </w:tcPr>
          <w:p>
            <w:r/>
            <w:r>
              <w:rPr>
                <w:b/>
              </w:rPr>
              <w:t>Név, beosztás</w:t>
            </w:r>
          </w:p>
        </w:tc>
        <w:tc>
          <w:tcPr>
            <w:tcW w:type="dxa" w:w="3137"/>
            <w:vAlign w:val="center"/>
            <w:shd w:fill="F2F2F2"/>
          </w:tcPr>
          <w:p>
            <w:r/>
            <w:r>
              <w:rPr>
                <w:b/>
              </w:rPr>
              <w:t>A felvétel visszanézésének konkrét célja</w:t>
            </w:r>
          </w:p>
        </w:tc>
        <w:tc>
          <w:tcPr>
            <w:tcW w:type="dxa" w:w="3137"/>
            <w:vAlign w:val="center"/>
            <w:shd w:fill="F2F2F2"/>
          </w:tcPr>
          <w:p>
            <w:r/>
            <w:r>
              <w:rPr>
                <w:b/>
              </w:rPr>
              <w:t>A felvétel visszanézésének gyakorisága</w:t>
            </w:r>
          </w:p>
        </w:tc>
      </w:tr>
      <w:tr>
        <w:tc>
          <w:tcPr>
            <w:tcW w:type="dxa" w:w="3137"/>
            <w:vAlign w:val="center"/>
          </w:tcPr>
          <w:p>
            <w:r/>
            <w:r>
              <w:rPr>
                <w:b w:val="0"/>
              </w:rPr>
              <w:t>Igazgató</w:t>
            </w:r>
          </w:p>
        </w:tc>
        <w:tc>
          <w:tcPr>
            <w:tcW w:type="dxa" w:w="3137"/>
            <w:vAlign w:val="center"/>
          </w:tcPr>
          <w:p>
            <w:r/>
            <w:r>
              <w:rPr>
                <w:b w:val="0"/>
              </w:rPr>
              <w:t>Vagyonvédelmi</w:t>
            </w:r>
          </w:p>
        </w:tc>
        <w:tc>
          <w:tcPr>
            <w:tcW w:type="dxa" w:w="3137"/>
            <w:vAlign w:val="center"/>
          </w:tcPr>
          <w:p>
            <w:r/>
            <w:r>
              <w:rPr>
                <w:b w:val="0"/>
              </w:rPr>
              <w:t>Eseti</w:t>
            </w:r>
          </w:p>
        </w:tc>
      </w:tr>
      <w:tr>
        <w:tc>
          <w:tcPr>
            <w:tcW w:type="dxa" w:w="3137"/>
            <w:vAlign w:val="center"/>
          </w:tcPr>
          <w:p>
            <w:r/>
            <w:r>
              <w:rPr>
                <w:b w:val="0"/>
              </w:rPr>
              <w:t>Közterület-felügyeleti és Parkolás-ellenőrzési csoportvezető</w:t>
            </w:r>
          </w:p>
        </w:tc>
        <w:tc>
          <w:tcPr>
            <w:tcW w:type="dxa" w:w="3137"/>
            <w:vAlign w:val="center"/>
          </w:tcPr>
          <w:p>
            <w:r/>
            <w:r>
              <w:rPr>
                <w:b w:val="0"/>
              </w:rPr>
              <w:t>Vagyonvédelmi</w:t>
            </w:r>
          </w:p>
        </w:tc>
        <w:tc>
          <w:tcPr>
            <w:tcW w:type="dxa" w:w="3137"/>
            <w:vAlign w:val="center"/>
          </w:tcPr>
          <w:p>
            <w:r/>
            <w:r>
              <w:rPr>
                <w:b w:val="0"/>
              </w:rPr>
              <w:t>Eseti</w:t>
            </w:r>
          </w:p>
        </w:tc>
      </w:tr>
      <w:tr>
        <w:tc>
          <w:tcPr>
            <w:tcW w:type="dxa" w:w="3137"/>
            <w:vAlign w:val="center"/>
          </w:tcPr>
          <w:p>
            <w:r/>
            <w:r>
              <w:rPr>
                <w:b w:val="0"/>
              </w:rPr>
              <w:t>Elemző-értékelő</w:t>
            </w:r>
          </w:p>
        </w:tc>
        <w:tc>
          <w:tcPr>
            <w:tcW w:type="dxa" w:w="3137"/>
            <w:vAlign w:val="center"/>
          </w:tcPr>
          <w:p>
            <w:r/>
            <w:r>
              <w:rPr>
                <w:b w:val="0"/>
              </w:rPr>
              <w:t>Vagyonvédelmi</w:t>
            </w:r>
          </w:p>
        </w:tc>
        <w:tc>
          <w:tcPr>
            <w:tcW w:type="dxa" w:w="3137"/>
            <w:vAlign w:val="center"/>
          </w:tcPr>
          <w:p>
            <w:r/>
            <w:r>
              <w:rPr>
                <w:b w:val="0"/>
              </w:rPr>
              <w:t>Eseti</w:t>
            </w:r>
          </w:p>
        </w:tc>
      </w:tr>
    </w:tbl>
    <w:p>
      <w:pPr>
        <w:pStyle w:val="Heading1"/>
      </w:pPr>
      <w:r>
        <w:t>Az érintett személyek tájékoztatása, jogaik</w:t>
      </w:r>
    </w:p>
    <w:p>
      <w:r>
        <w:t>A tisztességes és átlátható adatkezelés elve megköveteli, hogy az érintett tájékoztatást kapjon az adatkezelés tényéről és céljairól, konkrétan arról, hogy a Felügyelet milyen célból alkalmaz kamerás megfigyelőrendszert.</w:t>
      </w:r>
    </w:p>
    <w:p>
      <w:r>
        <w:t>A fentiek teljesítése érdekében figyelemfelhívó feliratokat kell elhelyezni és bárki számára hozzáférhetővé kell tenni az Adatvédelmi és Adatbiztonsági Szabályzatot, amely tartalmazza a kamerás megfigyelő rendszer adatkezelési tájékoztatóját.</w:t>
      </w:r>
    </w:p>
    <w:p>
      <w:r>
        <w:t>Az információkat szabványosított ikonokkal is ki lehet egészíteni annak érdekében, hogy az érintett a kamerás megfigyelő rendszer alkalmazásáról jól látható, könnyen érthető és jól olvasható formában általános tájékoztatást kapjon.</w:t>
      </w:r>
    </w:p>
    <w:p>
      <w:r>
        <w:t>Az adatkezeléssel érintettek jogairól és azok érvényesítési lehetőségeiről az Adatvédelmi és Adatbiztonsági Szabályzat ad további információt.</w:t>
      </w:r>
    </w:p>
    <w:p>
      <w:pPr>
        <w:pStyle w:val="Heading1"/>
      </w:pPr>
      <w:r>
        <w:t>Az adatkezelő feladatai</w:t>
      </w:r>
    </w:p>
    <w:p>
      <w:r>
        <w:t>Az adatkezelő a jogszerű adatkezelés érdekében megfelelő belső adatvédelmi szabályokat alkalmaz. Ez a szabályozás kiterjed az adatkezelő hatáskörére és felelősségére.</w:t>
      </w:r>
    </w:p>
    <w:p>
      <w:r>
        <w:t>A Felügyelet adatkezelési tájékoztató közzétételére köteles, amelyben tájékoztatja az érdekelteket különösen az alábbiakról:</w:t>
      </w:r>
    </w:p>
    <w:p>
      <w:pPr>
        <w:pStyle w:val="ListBullet"/>
      </w:pPr>
      <w:r>
        <w:t>az üzemeltető megnevezése</w:t>
      </w:r>
    </w:p>
    <w:p>
      <w:pPr>
        <w:pStyle w:val="ListBullet"/>
      </w:pPr>
      <w:r>
        <w:t>az adatkezelő elérhetősége</w:t>
      </w:r>
    </w:p>
    <w:p>
      <w:pPr>
        <w:pStyle w:val="ListBullet"/>
      </w:pPr>
      <w:r>
        <w:t>a kamerák működési helye</w:t>
      </w:r>
    </w:p>
    <w:p>
      <w:pPr>
        <w:pStyle w:val="ListBullet"/>
      </w:pPr>
      <w:r>
        <w:t>az elhelyezés célja</w:t>
      </w:r>
    </w:p>
    <w:p>
      <w:pPr>
        <w:pStyle w:val="ListBullet"/>
      </w:pPr>
      <w:r>
        <w:t>a megfigyelt terület</w:t>
      </w:r>
    </w:p>
    <w:p>
      <w:pPr>
        <w:pStyle w:val="ListBullet"/>
      </w:pPr>
      <w:r>
        <w:t>a felvételek tárolási helye, ideje és módja</w:t>
      </w:r>
    </w:p>
    <w:p>
      <w:pPr>
        <w:pStyle w:val="ListBullet"/>
      </w:pPr>
      <w:r>
        <w:t>a felvételek visszanézésére jogosultak megnevezése</w:t>
      </w:r>
    </w:p>
    <w:p>
      <w:pPr>
        <w:pStyle w:val="ListBullet"/>
      </w:pPr>
      <w:r>
        <w:t>az adatkezelés jogalapja</w:t>
      </w:r>
    </w:p>
    <w:p>
      <w:pPr>
        <w:pStyle w:val="ListBullet"/>
      </w:pPr>
      <w:r>
        <w:t>az adatkezelés célja</w:t>
      </w:r>
    </w:p>
    <w:p>
      <w:pPr>
        <w:pStyle w:val="ListBullet"/>
      </w:pPr>
      <w:r>
        <w:t>a felvételek felhasználási célja</w:t>
      </w:r>
    </w:p>
    <w:p>
      <w:pPr>
        <w:pStyle w:val="ListBullet"/>
      </w:pPr>
      <w:r>
        <w:t>az adatbiztonság rendszere</w:t>
      </w:r>
    </w:p>
    <w:p>
      <w:pPr>
        <w:pStyle w:val="ListBullet"/>
      </w:pPr>
      <w:r>
        <w:t>a felvételek továbbítása</w:t>
      </w:r>
    </w:p>
    <w:p>
      <w:pPr>
        <w:pStyle w:val="ListBullet"/>
      </w:pPr>
      <w:r>
        <w:t>az érintett személyek (megfigyelt személyek) jogai</w:t>
      </w:r>
    </w:p>
    <w:p>
      <w:pPr>
        <w:pStyle w:val="ListBullet"/>
      </w:pPr>
      <w:r>
        <w:t>jogérvényesítési lehetőségek</w:t>
      </w:r>
    </w:p>
    <w:p>
      <w:r>
        <w:t>Az adatkezelő kötelessége, hogy megfelelő és hatékony intézkedéseket hajtson végre, valamint, hogy képes legyen igazolni azt, hogy az adatkezelési tevékenységek a hatályos jogszabályoknak megfelelnek. Ezt a szabályozást az adatkezelés jellegének, hatókörének, körülményeinek és céljainak, valamint a természetes személyek jogait és szabadságait érintő kockázatnak a figyelembevételével kell meghozni.</w:t>
      </w:r>
    </w:p>
    <w:p>
      <w:r>
        <w:t>Az adatkezelő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E szabályzat alapján az egyéb belső szabályzatokat felülvizsgálja és szükség esetén naprakésszé teszi. Az adatkezelő vagy az adatfeldolgozó megfelelő nyilvántartást vezet a hatásköre alapján végzett adatkezelési tevékenységekről. Minden adatkezelő és adatfeldolgozó köteles a felügyeleti hatósággal együttműködni és ezeket a nyilvántartásokat kérésre hozzáférhetővé tenni az érintett adatkezelési műveletek ellenőrzése érdekében.</w:t>
      </w:r>
    </w:p>
    <w:p>
      <w:r>
        <w:t>A Felügyelet feladatai a megfelelő adatvédelem érdekében:</w:t>
      </w:r>
    </w:p>
    <w:p>
      <w:pPr>
        <w:pStyle w:val="ListBullet"/>
      </w:pPr>
      <w:r>
        <w:t>Az adatvédelmi tudatosság biztosítása. Biztosítani kell a szakmai felkészültséget a jogszabályoknak való megfeleléshez. Elengedhetetlen a munkatársak szakmai felkészítése és a szabályzat megismerése.</w:t>
      </w:r>
    </w:p>
    <w:p>
      <w:pPr>
        <w:pStyle w:val="ListBullet"/>
      </w:pPr>
      <w:r>
        <w:t>Át kell tekinteni az adatkezelés célját, szempontrendszerét, a személyes adatkezelés koncepcióját. Az adatvédelmi és adatkezelési szabályzattal összhangban kell biztosítani a jogszerű adatkezelést és adatfeldolgozást.</w:t>
      </w:r>
    </w:p>
    <w:p>
      <w:pPr>
        <w:pStyle w:val="ListBullet"/>
      </w:pPr>
      <w:r>
        <w:t>Az adatkezelésben érintett személy megfelelő tájékoztatása.</w:t>
      </w:r>
    </w:p>
    <w:p>
      <w:pPr>
        <w:pStyle w:val="ListBullet"/>
      </w:pPr>
      <w:r>
        <w:t>Az érintett személynek nyújtott tájékoztatás tömör, könnyen hozzáférhető és könnyen érthető legyen, ezért azt világos és közérthető nyelven kell megfogalmazni és megjeleníteni.</w:t>
      </w:r>
    </w:p>
    <w:p>
      <w:pPr>
        <w:pStyle w:val="ListBullet"/>
      </w:pPr>
      <w:r>
        <w:t>Az átlátható adatkezelés követelménye, hogy az érintett személy tájékoztatást kapjon az adatkezelés tényéről és céljairól.</w:t>
      </w:r>
    </w:p>
    <w:p>
      <w:pPr>
        <w:pStyle w:val="ListBullet"/>
      </w:pPr>
      <w:r>
        <w:t>Át kell tekinteni a Felügyelet által végzett adatkezeléseket, biztosítani kell az információs önrendelkezési jog érvényesülését.</w:t>
      </w:r>
    </w:p>
    <w:p>
      <w:pPr>
        <w:pStyle w:val="ListBullet"/>
      </w:pPr>
      <w:r>
        <w:t>A személyes adat jogellenes kezelése vagy feldolgozása esetén bejelentési kötelezettség keletkezik a felügyelő hatóság felé. Az adatkezelőnek indokolatlan késedelem nélkül - ha lehetséges, legkésőbb 72 órával azután, hogy az adatvédelmi incidens a tudomására jutott - meg kell tennie a bejelentést a felügyeleti hatóságnak, kivéve akkor, ha az adatvédelmi incidens valószínűsíthetően nem jár kockázattal a természetes személy jogait tekintve.</w:t>
      </w:r>
    </w:p>
    <w:p>
      <w:pPr>
        <w:pStyle w:val="ListBullet"/>
      </w:pPr>
      <w:r>
        <w:t>Bizonyos esetekben indokolt lehet az adatkezelőnek az adatkezelést megelőzően adatvédelmi hatásvizsgálatot lefolytatni. A hatásvizsgálat során meg kell vizsgálni, hogy a tervezett adatkezelési műveletek a személyes adatok védelmét hogyan érintik. Ha az adatvédelmi hatásvizsgálat megállapítja, hogy az adatkezelés valószínűsíthetően magas kockázattal jár, a személyes adatok kezelését megelőzően az adatkezelőnek konzultálnia kell a felügyeleti hatósággal.</w:t>
      </w:r>
    </w:p>
    <w:p>
      <w:pPr>
        <w:pStyle w:val="ListBullet"/>
      </w:pPr>
      <w:r>
        <w:t>Abban az esetben, ha a fő tevékenységek olyan adatkezelési műveleteket foglalnak magukban, amelyek jellegüknél, hatókörüknél vagy céljaiknál fogva az érintettek rendszeres és szisztematikus, nagymértékű megfigyelését teszik szükségessé, adatvédelmi tisztviselőt kell kinevezni. Az adatvédelmi tisztviselő kinevezése az adatbiztonság megerősítését célozza.</w:t>
      </w:r>
    </w:p>
    <w:p>
      <w:pPr>
        <w:pStyle w:val="Heading1"/>
      </w:pPr>
      <w:r>
        <w:t>Adatbiztonsági követelmények, adatbiztonság</w:t>
      </w:r>
    </w:p>
    <w:p>
      <w:r>
        <w:t>Az Adatkezelő gondoskodik a rögzített képfelvételek, és a kezelt más adatok biztonságáról, amelyhez a szükséges technikai és szervezési intézkedéseket megteszi, különösen annak érdekében, hogy a képfelvételek és más adatok védelmében részesüljenek a jogosulatlan hozzáféréssel, megváltoztatással, továbbítással, nyilvánosságra hozatallal, törléssel vagy megsemmisítéssel, valamint a véletlen megsemmisüléssel és sérüléssel, továbbá az alkalmazott technika megváltozásából fakadó hozzáférhetetlenné válással szemben.</w:t>
      </w:r>
    </w:p>
    <w:p>
      <w:r>
        <w:t>A nyilvántartásokban elektronikusan kezelt adatállományok védelme érdekében megfelelő technikai megoldással biztosítani kell, hogy a nyilvántartásokban tárolt adatok közvetlenül ne legyenek összekapcsolhatók és az érintetthez rendelhetők.</w:t>
      </w:r>
    </w:p>
    <w:p>
      <w:r>
        <w:t>Az adatbiztonság megtervezésekor és alkalmazásakor tekintettel kell lenni a technika mindenkori fejlettségére. Több lehetséges adatkezelési megoldás közül azt kell választani, amely a személyes adatok magasabb szintű védelmét biztosítja, kivéve, ha az aránytalan nehézséget jelentene az adatkezelőnek.</w:t>
      </w:r>
    </w:p>
    <w:p>
      <w:r>
        <w:t>Az elektronikus megfigyelőrendszer adatait csak az arra jogosult személyek nézhetik vissza, a tárolási idő leteltével a kamerarendszer adatait automatikusan törölni (felülírni) kell. A felvételek adataihoz csak a kijelölt munkatársaink, illetve a rendszert üzemeltető szakemberek férhetnek hozzá, de mindannyian felelősséggel tartoznak az adatok biztonságos kezeléséért.</w:t>
      </w:r>
    </w:p>
    <w:p>
      <w:pPr>
        <w:pStyle w:val="Heading1"/>
      </w:pPr>
      <w:r>
        <w:t>A kamerarendszer üzemeltetője és elérhetőségei</w:t>
      </w:r>
    </w:p>
    <w:p>
      <w:r>
        <w:t>A kamerarendszert az Exam Consulting Kft. üzemelteti a Belváros-Lipótváros Budapest Főváros V. kerület Önkormányzata Közterület-felügyelettel kötött üzemeltetési szerződés alapján.</w:t>
      </w:r>
    </w:p>
    <w:p>
      <w:r>
        <w:t>A kamerarendszert üzemeltető elérhetőségei:</w:t>
      </w:r>
    </w:p>
    <w:tbl>
      <w:tblPr>
        <w:tblStyle w:val="TableGrid"/>
        <w:tblW w:type="auto" w:w="0"/>
        <w:tblLook w:firstColumn="1" w:firstRow="1" w:lastColumn="0" w:lastRow="0" w:noHBand="0" w:noVBand="1" w:val="04A0"/>
      </w:tblPr>
      <w:tblGrid>
        <w:gridCol w:w="4706"/>
        <w:gridCol w:w="4706"/>
      </w:tblGrid>
      <w:tr>
        <w:trPr>
          <w:tblHeader w:val="true"/>
        </w:trPr>
        <w:tc>
          <w:tcPr>
            <w:tcW w:type="dxa" w:w="4706"/>
            <w:vAlign w:val="center"/>
            <w:shd w:fill="F2F2F2"/>
          </w:tcPr>
          <w:p>
            <w:r/>
            <w:r>
              <w:rPr>
                <w:b/>
              </w:rPr>
              <w:t>Üzemeltető neve:</w:t>
            </w:r>
          </w:p>
        </w:tc>
        <w:tc>
          <w:tcPr>
            <w:tcW w:type="dxa" w:w="4706"/>
            <w:vAlign w:val="center"/>
            <w:shd w:fill="F2F2F2"/>
          </w:tcPr>
          <w:p>
            <w:r/>
            <w:r>
              <w:rPr>
                <w:b w:val="0"/>
              </w:rPr>
              <w:t>Exam Consulting Kft.</w:t>
            </w:r>
          </w:p>
        </w:tc>
      </w:tr>
      <w:tr>
        <w:tc>
          <w:tcPr>
            <w:tcW w:type="dxa" w:w="4706"/>
            <w:vAlign w:val="center"/>
          </w:tcPr>
          <w:p>
            <w:r/>
            <w:r>
              <w:rPr>
                <w:b/>
              </w:rPr>
              <w:t>Székhelye:</w:t>
            </w:r>
          </w:p>
        </w:tc>
        <w:tc>
          <w:tcPr>
            <w:tcW w:type="dxa" w:w="4706"/>
            <w:vAlign w:val="center"/>
          </w:tcPr>
          <w:p>
            <w:r/>
            <w:r>
              <w:rPr>
                <w:b w:val="0"/>
              </w:rPr>
              <w:t>1025 Budapest Törökvész út 39.</w:t>
            </w:r>
          </w:p>
        </w:tc>
      </w:tr>
      <w:tr>
        <w:tc>
          <w:tcPr>
            <w:tcW w:type="dxa" w:w="4706"/>
            <w:vAlign w:val="center"/>
          </w:tcPr>
          <w:p>
            <w:r/>
            <w:r>
              <w:rPr>
                <w:b/>
              </w:rPr>
              <w:t>Adószáma:</w:t>
            </w:r>
          </w:p>
        </w:tc>
        <w:tc>
          <w:tcPr>
            <w:tcW w:type="dxa" w:w="4706"/>
            <w:vAlign w:val="center"/>
          </w:tcPr>
          <w:p>
            <w:r/>
            <w:r>
              <w:rPr>
                <w:b w:val="0"/>
              </w:rPr>
              <w:t>25102721-2-41</w:t>
            </w:r>
          </w:p>
        </w:tc>
      </w:tr>
      <w:tr>
        <w:tc>
          <w:tcPr>
            <w:tcW w:type="dxa" w:w="4706"/>
            <w:vAlign w:val="center"/>
          </w:tcPr>
          <w:p>
            <w:r/>
            <w:r>
              <w:rPr>
                <w:b/>
              </w:rPr>
              <w:t>Telefonszáma:</w:t>
            </w:r>
          </w:p>
        </w:tc>
        <w:tc>
          <w:tcPr>
            <w:tcW w:type="dxa" w:w="4706"/>
            <w:vAlign w:val="center"/>
          </w:tcPr>
          <w:p>
            <w:r/>
            <w:r>
              <w:rPr>
                <w:b w:val="0"/>
              </w:rPr>
              <w:t>+36 30 365-7260</w:t>
            </w:r>
          </w:p>
        </w:tc>
      </w:tr>
      <w:tr>
        <w:tc>
          <w:tcPr>
            <w:tcW w:type="dxa" w:w="4706"/>
            <w:vAlign w:val="center"/>
          </w:tcPr>
          <w:p>
            <w:r/>
            <w:r>
              <w:rPr>
                <w:b/>
              </w:rPr>
              <w:t>E-mail címe:</w:t>
            </w:r>
          </w:p>
        </w:tc>
        <w:tc>
          <w:tcPr>
            <w:tcW w:type="dxa" w:w="4706"/>
            <w:vAlign w:val="center"/>
          </w:tcPr>
          <w:p>
            <w:r/>
            <w:r>
              <w:rPr>
                <w:b w:val="0"/>
              </w:rPr>
              <w:t>info@exam.hu</w:t>
            </w:r>
          </w:p>
        </w:tc>
      </w:tr>
      <w:tr>
        <w:tc>
          <w:tcPr>
            <w:tcW w:type="dxa" w:w="4706"/>
            <w:vAlign w:val="center"/>
          </w:tcPr>
          <w:p>
            <w:r/>
            <w:r>
              <w:rPr>
                <w:b/>
              </w:rPr>
              <w:t>Weboldal megnevezése, címe:</w:t>
            </w:r>
          </w:p>
        </w:tc>
        <w:tc>
          <w:tcPr>
            <w:tcW w:type="dxa" w:w="4706"/>
            <w:vAlign w:val="center"/>
          </w:tcPr>
          <w:p>
            <w:r/>
            <w:r>
              <w:rPr>
                <w:b w:val="0"/>
              </w:rPr>
              <w:t>http://www.exam.hu/</w:t>
            </w:r>
          </w:p>
        </w:tc>
      </w:tr>
      <w:tr>
        <w:tc>
          <w:tcPr>
            <w:tcW w:type="dxa" w:w="4706"/>
            <w:vAlign w:val="center"/>
          </w:tcPr>
          <w:p>
            <w:r/>
            <w:r>
              <w:rPr>
                <w:b/>
              </w:rPr>
              <w:t>Kapcsolattartó neve és elérhetősége</w:t>
            </w:r>
          </w:p>
        </w:tc>
        <w:tc>
          <w:tcPr>
            <w:tcW w:type="dxa" w:w="4706"/>
            <w:vAlign w:val="center"/>
          </w:tcPr>
          <w:p>
            <w:r/>
            <w:r>
              <w:rPr>
                <w:b w:val="0"/>
              </w:rPr>
              <w:t>Fehér Zoltán (e-mail: feher.zoltan@exam.hu, tel.: +36 30 365-7260)</w:t>
            </w:r>
          </w:p>
        </w:tc>
      </w:tr>
    </w:tbl>
    <w:p>
      <w:r>
        <w:t>Az Üzemeltető, mint adatfeldolgozó külön nyilatkozattal igazolta, és ezzel megfelelő garanciákat nyújtott arra vonatkozóan, hogy Társaságuknál az adatkezelés a GDPR-ban foglalt követelményeknek megfelelően, és az érintettek jogainak védelmét biztosító, megfelelő technikai és szervezési intézkedések végrehajtásával történik.</w:t>
      </w:r>
    </w:p>
    <w:p>
      <w:pPr>
        <w:pStyle w:val="Heading1"/>
      </w:pPr>
      <w:r>
        <w:t>Térfigyelő kamerarendszer működtetése</w:t>
      </w:r>
    </w:p>
    <w:p>
      <w:r>
        <w:t>A Belváros-Lipótváros Budapest Főváros V. kerület Önkormányzata Közterület-felügyelet, mint Adatkezelő kijelenti, hogy érdekében és megbízása alapján a Video-Data Kft. térfigyelő kamerarendszert üzemeltet a közterület-felügyeletről szóló 1999. évi LXIII. törvény alapján. Ezek lehetővé teszik a közterület távolból történő megfigyelését, a kamerákkal képfelvételek készítését, a felvételek tárolását, valamint az adatok továbbítását.</w:t>
      </w:r>
    </w:p>
    <w:p>
      <w:r>
        <w:t>A közterületi térfigyelő kamerarendszer üzemeltetésének célja: az általános közbiztonság növelése, a lakosság biztonságérzetének növelése, a felderíthetőség miatt a jogellenes magatartás visszaszorítása, a közterület önkormányzati rendeletben meghatározott rendjének biztosítása, a közterület általános rendje megtartásának elősegítése, a közterületen található vagyon megóvása, a közterületen megfelelő magatartásra ösztönzés, bűnmegelőzés. Az egyes kamerák elhelyezkedése: http://blkf.hu/images/Kamerk_2017.pdf</w:t>
      </w:r>
    </w:p>
    <w:p>
      <w:r>
        <w:t>A térfigyelő kamerarendszer által közvetített képek folyamatosan megfigyelésre kerülnek. A térfigyelő kamerarendszer képeinek rögzítése folyamatosan - a nap 24 órájában - történik. A képek rögzítésének célja, hogy szükséges esetben bizonyítási eszközként felhasználhatóak legyenek az egyes eljárásokban. A térfigyelő kamerarendszer rögzített képeinek visszanézése a visszanézésre okot adó esemény bekövetkezése esetén történik meg. A kamerák felvételei helyileg külön erre a célra szolgáló szerveren kerülnek tárolásra. Adatkezelő megtesz minden szükséges intézkedést a felvételek illetéktelen személy általi megismerésének elkerülése érdekében.</w:t>
      </w:r>
    </w:p>
    <w:p>
      <w:r>
        <w:t>Az üzemeltető a rögzített felvételt a rögzítést követő 8 nap elteltével haladéktalanul törli. A felügyelet a feladatkörébe tartozó eljárást a felvétel rögzítésétől számított két munkanapon belül köteles megindítani, vagy kezdeményezni az eljárásra jogosult szervnél vagy hatóságnál a hatáskörébe tartozó eljárás megindítását. Ha a felügyelet kezdeményezésére az eljárásra jogosult szerv vagy hatóság az eljárását megindította, és erről a felügyeletet határidőben tájékoztatta, a felügyelet a rögzített felvételt az eljárásra jogosult szerv vagy hatóság részére történő továbbításáig kezelheti azzal, hogy az adatkezelés időtartama nem haladhatja meg a harminc napot.</w:t>
      </w:r>
    </w:p>
    <w:p>
      <w:r>
        <w:t>A kamerák aktuális képének a megtekintésére az Adatkezelő arra jogosultsággal rendelkező dolgozói jogosultak, a felvételekhez ugyanezen személyi kör férhet hozzá a fenti adatkezelési célok teljesülése érdekében. Bíróság vagy más hatóság megkeresésére a rögzített felvételt a bíróságnak vagy a hatóságnak haladéktalanul meg kell küldeni.</w:t>
      </w:r>
    </w:p>
    <w:p>
      <w:r>
        <w:t>A közterületi térfigyelő kamera által rögzített felvételeket, mint személyes adatokat a képfelvétellel érintett közterületen elkövetett bűncselekmény miatt indult eljárásban, elkövetett szabálysértés miatt indult eljárásban, a Közterület-felügyelet által végzett felügyelői intézkedés jogszerűségének megállapítására irányuló közigazgatási hatósági eljárásban, továbbá a felvételen szereplő személy által, jogainak gyakorlása érdekében indított eljárásban használható fel.</w:t>
      </w:r>
    </w:p>
    <w:p>
      <w:r>
        <w:t>A Közterület-felügyelet bizonyítási eszközként a büntető vagy szabálysértési eljárásra jogosult szerv kérésére, illetve közigazgatási hatósági eljárásban az eljáró hatóság megkeresésére (belföldi jogsegély keretében) továbbítja a rögzített felvételt, ha az eljáró szerv, illetve hatóság megkeresése megfelelő. A megkeresés akkor megfelelő, ha az tartalmazza: az eljárás tárgyát, az eljárás ügyiratszámát, a rögzített felvétellel bizonyítandó tényt. A megkeresést meg kell tagadni, ha a megkeresés tartalmilag nem megfelelő, vagy ha a felvétel a megkeresésben meghatározott tény bizonyítására alkalmatlan.</w:t>
      </w:r>
    </w:p>
    <w:p>
      <w:pPr>
        <w:pStyle w:val="Heading1"/>
      </w:pPr>
      <w:r>
        <w:t>Vegyes rendelkezések</w:t>
      </w:r>
    </w:p>
    <w:p>
      <w:r>
        <w:t>Jelen Szabályzatot a Belváros-Lipótváros Budapest Főváros V. kerület Önkormányzata Közterület-felügyelet a helyben szokásos és általában ismert módon közzétette. A jelen szabályzat megismerhető papír alapon a Felügyelet székhelyén, ügyfélszolgálatán. Belváros-Lipótváros Budapest Főváros V. kerület Önkormányzata Közterület-felügyelet, mint Adatkezelő ezzel az előzetes tájékoztatási kötelezettségének az Elektronikus Megfigyelőrendszer alkalmazásáról eleget tett.</w:t>
      </w:r>
    </w:p>
    <w:p>
      <w:r>
        <w:t>Kifüggesztette továbbá az alábbi adattartalmú figyelemfelhívó táblákat a székhelyének a bejáratánál és az érintett szervezeti egységeiben annak érdekében, hogy az eseti látogatókat is megfelelőképpen tájékoztassa.</w:t>
      </w:r>
    </w:p>
    <w:p>
      <w:pPr>
        <w:jc w:val="center"/>
      </w:pPr>
      <w:r>
        <w:rPr>
          <w:i/>
        </w:rPr>
        <w:t>Figyelem! Kamerával megfigyelt terület.</w:t>
      </w:r>
    </w:p>
    <w:p>
      <w:r>
        <w:rPr>
          <w:b/>
        </w:rPr>
        <w:t xml:space="preserve">A kamerarendszer üzemeltetője: </w:t>
      </w:r>
      <w:r>
        <w:t>Exam Consulting Kft., 1025 Budapest Törökvész út 39.</w:t>
      </w:r>
    </w:p>
    <w:p>
      <w:r>
        <w:rPr>
          <w:b/>
        </w:rPr>
        <w:t xml:space="preserve">A kamerarendszerből nyerhető adatok adatkezelője: </w:t>
      </w:r>
      <w:r>
        <w:t>Belváros-Lipótváros Budapest Főváros V. kerület Önkormányzata Közterület-felügyelet</w:t>
      </w:r>
    </w:p>
    <w:p>
      <w:r>
        <w:rPr>
          <w:b/>
        </w:rPr>
        <w:t xml:space="preserve">Adatkezelő székhelye: </w:t>
      </w:r>
      <w:r>
        <w:t>1054 Budapest Bajcsy-Zsilinszky út 34.</w:t>
      </w:r>
    </w:p>
    <w:p>
      <w:r>
        <w:rPr>
          <w:b/>
        </w:rPr>
        <w:t xml:space="preserve">A kamerarendszer adatfeldolgozója: </w:t>
      </w:r>
      <w:r>
        <w:t>Exam Consulting Kft., 1025 Budapest Törökvész út 39., telefonszám: +36 30 365-7260, e-mail: info@exam.hu</w:t>
      </w:r>
    </w:p>
    <w:p>
      <w:r>
        <w:rPr>
          <w:b/>
        </w:rPr>
        <w:t xml:space="preserve">Az adatkezelő elérhetőségei: </w:t>
      </w:r>
      <w:r>
        <w:t>telefon: (06-1) 872-7593, e-mail: kozteruletfelugyelet@belvaros-lipotvaros.hu</w:t>
      </w:r>
    </w:p>
    <w:p>
      <w:r>
        <w:rPr>
          <w:b/>
        </w:rPr>
        <w:t xml:space="preserve">A felvételek tárolási időtartama: </w:t>
      </w:r>
      <w:r>
        <w:t>3 nap</w:t>
      </w:r>
    </w:p>
    <w:p>
      <w:r>
        <w:rPr>
          <w:b/>
        </w:rPr>
        <w:t xml:space="preserve">A felvételek tárolási helye: </w:t>
      </w:r>
      <w:r>
        <w:t>az adatkezelő, a szolgáltató szervere</w:t>
      </w:r>
    </w:p>
    <w:p>
      <w:r>
        <w:rPr>
          <w:b/>
        </w:rPr>
        <w:t xml:space="preserve">A felvételek megtekintésére jogosultak: </w:t>
      </w:r>
      <w:r>
        <w:t>a Felügyelet Igazgatója, a Közterület-felügyeleti és Parkolás-ellenőrzési csoportvezető, Elemző-értékelő</w:t>
      </w:r>
    </w:p>
    <w:p>
      <w:r>
        <w:rPr>
          <w:b/>
        </w:rPr>
        <w:t xml:space="preserve">Adatkezelési tájékoztató megtekinthető: </w:t>
      </w:r>
      <w:r>
        <w:t>az adatkezelő székhelyén, ügyfélszolgálatán kifüggesztve papír alapon</w:t>
      </w:r>
    </w:p>
    <w:p>
      <w:r>
        <w:t>Jelen tájékoztató a Felügyelet hatályos adatvédelmi és adatkezelési szabályzatának elválaszthatatlan mellékletét képezi. A jelen tájékoztatóban nem szabályozott kérdések tekintetében a Felügyelet hatályos adatvédelmi és adatkezelési szabályzatának, illetve az alább megjelölt jogszabályok vonatkozó rendelkezései az irányadók:</w:t>
      </w:r>
    </w:p>
    <w:p>
      <w:pPr>
        <w:pStyle w:val="ListBullet"/>
      </w:pPr>
      <w:r>
        <w:t>2016/679/EU Rendelet (GDPR - 2016. április 27.) a természetes személyeknek a személyes adatok kezelése tekintetében történő védelméről és az ilyen adatok szabad áramlásáról, valamint a 95/46/EK Rendelet hatályon kívül helyezéséről,</w:t>
      </w:r>
    </w:p>
    <w:p>
      <w:pPr>
        <w:pStyle w:val="ListBullet"/>
      </w:pPr>
      <w:r>
        <w:t>2011. évi CXII. törvény - az információs önrendelkezési jogról és az információszabadságról (Infotv.),</w:t>
      </w:r>
    </w:p>
    <w:p>
      <w:pPr>
        <w:pStyle w:val="ListBullet"/>
      </w:pPr>
      <w:r>
        <w:t>2012. évi I. törvény - a Munka törvénykönyvéről (új Mt.),</w:t>
      </w:r>
    </w:p>
    <w:p>
      <w:pPr>
        <w:pStyle w:val="ListBullet"/>
      </w:pPr>
      <w:r>
        <w:t>2013. évi V. törvény - a Polgári Törvénykönyvről (új Ptk.),</w:t>
      </w:r>
    </w:p>
    <w:p>
      <w:pPr>
        <w:pStyle w:val="ListBullet"/>
      </w:pPr>
      <w:r>
        <w:t>2005. évi CXXXIII. törvény a személy- és vagyonvédelmi, valamint a magánnyomozói tevékenység szabályairól.</w:t>
      </w:r>
    </w:p>
    <w:p>
      <w:r>
        <w:t>Jelen tájékoztató a Belváros-Lipótváros Budapest Főváros V. kerület Önkormányzata Közterület-felügyelet honlapján is közzétételre kerül, és ezzel a Felügyeletet látogatókkal közlésre is kerül, továbbá ezzel egyidejűleg az elektronikus megfigyeléssel érintett helyiségek bejáratánál, illetőleg a közösségi terekben jól látható, hozzáférhető helyen (pl. faliújság) történő kifüggesztéssel is közlésre kerül, melyre tekintettel nem a kamerák számával megegyező mennyiségű tájékoztató kerül kihelyezésre.</w:t>
      </w:r>
    </w:p>
    <w:p>
      <w:r>
        <w:t>Kelt: Budapest, 2021.11.22.</w:t>
      </w:r>
    </w:p>
    <w:p>
      <w:pPr>
        <w:jc w:val="center"/>
      </w:pPr>
      <w:r>
        <w:t>Belváros-Lipótváros Budapest Főváros V. kerület Önkormányzata Közterület-felügyelet</w:t>
        <w:br/>
        <w:t>képv. Molnár Gergely igazgató</w:t>
        <w:br/>
        <w:t>- Adatkezelő -</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lang w:val="hu-H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lang w:val="hu-HU"/>
    </w:rPr>
  </w:style>
  <w:style w:type="paragraph" w:styleId="Header">
    <w:name w:val="header"/>
    <w:basedOn w:val="Normal"/>
    <w:link w:val="HeaderChar"/>
    <w:uiPriority w:val="99"/>
    <w:unhideWhenUsed/>
    <w:rsid w:val="00E618BF"/>
    <w:pPr>
      <w:tabs>
        <w:tab w:val="center" w:pos="4680"/>
        <w:tab w:val="right" w:pos="9360"/>
      </w:tabs>
      <w:spacing w:after="0" w:line="240" w:lineRule="auto"/>
    </w:pPr>
    <w:rPr>
      <w:lang w:val="hu-HU"/>
    </w:rPr>
  </w:style>
  <w:style w:type="character" w:customStyle="1" w:styleId="HeaderChar">
    <w:name w:val="Header Char"/>
    <w:basedOn w:val="DefaultParagraphFont"/>
    <w:link w:val="Header"/>
    <w:uiPriority w:val="99"/>
    <w:rsid w:val="00E618BF"/>
    <w:rPr>
      <w:lang w:val="hu-HU"/>
    </w:rPr>
  </w:style>
  <w:style w:type="paragraph" w:styleId="Footer">
    <w:name w:val="footer"/>
    <w:basedOn w:val="Normal"/>
    <w:link w:val="FooterChar"/>
    <w:uiPriority w:val="99"/>
    <w:unhideWhenUsed/>
    <w:rsid w:val="00E618BF"/>
    <w:pPr>
      <w:tabs>
        <w:tab w:val="center" w:pos="4680"/>
        <w:tab w:val="right" w:pos="9360"/>
      </w:tabs>
      <w:spacing w:after="0" w:line="240" w:lineRule="auto"/>
    </w:pPr>
    <w:rPr>
      <w:lang w:val="hu-HU"/>
    </w:rPr>
  </w:style>
  <w:style w:type="character" w:customStyle="1" w:styleId="FooterChar">
    <w:name w:val="Footer Char"/>
    <w:basedOn w:val="DefaultParagraphFont"/>
    <w:link w:val="Footer"/>
    <w:uiPriority w:val="99"/>
    <w:rsid w:val="00E618BF"/>
    <w:rPr>
      <w:lang w:val="hu-HU"/>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00000"/>
      <w:sz w:val="36"/>
      <w:szCs w:val="28"/>
      <w:lang w:val="hu-HU"/>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00000"/>
      <w:sz w:val="28"/>
      <w:szCs w:val="26"/>
      <w:lang w:val="hu-HU"/>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000000"/>
      <w:sz w:val="24"/>
      <w:lang w:val="hu-HU"/>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hu-HU"/>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hu-HU"/>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hu-HU"/>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hu-HU"/>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hu-HU"/>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hu-HU"/>
    </w:rPr>
  </w:style>
  <w:style w:type="character" w:default="1" w:styleId="DefaultParagraphFont">
    <w:name w:val="Default Paragraph Font"/>
    <w:uiPriority w:val="1"/>
    <w:semiHidden/>
    <w:unhideWhenUsed/>
    <w:rPr>
      <w:lang w:val="hu-HU"/>
    </w:rPr>
  </w:style>
  <w:style w:type="table" w:default="1" w:styleId="TableNormal">
    <w:name w:val="Normal Table"/>
    <w:uiPriority w:val="99"/>
    <w:semiHidden/>
    <w:unhideWhenUsed/>
    <w:rPr>
      <w:lang w:val="hu-HU"/>
    </w:rPr>
    <w:tblPr>
      <w:tblInd w:w="0" w:type="dxa"/>
      <w:tblCellMar>
        <w:top w:w="0" w:type="dxa"/>
        <w:left w:w="108" w:type="dxa"/>
        <w:bottom w:w="0" w:type="dxa"/>
        <w:right w:w="108" w:type="dxa"/>
      </w:tblCellMar>
    </w:tblPr>
  </w:style>
  <w:style w:type="numbering" w:default="1" w:styleId="NoList">
    <w:name w:val="No List"/>
    <w:uiPriority w:val="99"/>
    <w:semiHidden/>
    <w:unhideWhenUsed/>
    <w:rPr>
      <w:lang w:val="hu-HU"/>
    </w:rPr>
  </w:style>
  <w:style w:type="paragraph" w:styleId="NoSpacing">
    <w:name w:val="No Spacing"/>
    <w:uiPriority w:val="1"/>
    <w:qFormat/>
    <w:rsid w:val="00FC693F"/>
    <w:pPr>
      <w:spacing w:after="0" w:line="240" w:lineRule="auto"/>
    </w:pPr>
    <w:rPr>
      <w:lang w:val="hu-HU"/>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hu-HU"/>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hu-HU"/>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hu-HU"/>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hu-HU"/>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hu-HU"/>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hu-HU"/>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hu-HU"/>
    </w:rPr>
  </w:style>
  <w:style w:type="paragraph" w:styleId="ListParagraph">
    <w:name w:val="List Paragraph"/>
    <w:basedOn w:val="Normal"/>
    <w:uiPriority w:val="34"/>
    <w:qFormat/>
    <w:rsid w:val="00FC693F"/>
    <w:pPr>
      <w:ind w:left="720"/>
      <w:contextualSpacing/>
    </w:pPr>
    <w:rPr>
      <w:lang w:val="hu-HU"/>
    </w:rPr>
  </w:style>
  <w:style w:type="paragraph" w:styleId="BodyText">
    <w:name w:val="Body Text"/>
    <w:basedOn w:val="Normal"/>
    <w:link w:val="BodyTextChar"/>
    <w:uiPriority w:val="99"/>
    <w:unhideWhenUsed/>
    <w:rsid w:val="00AA1D8D"/>
    <w:pPr>
      <w:spacing w:after="120"/>
    </w:pPr>
    <w:rPr>
      <w:lang w:val="hu-HU"/>
    </w:rPr>
  </w:style>
  <w:style w:type="character" w:customStyle="1" w:styleId="BodyTextChar">
    <w:name w:val="Body Text Char"/>
    <w:basedOn w:val="DefaultParagraphFont"/>
    <w:link w:val="BodyText"/>
    <w:uiPriority w:val="99"/>
    <w:rsid w:val="00AA1D8D"/>
    <w:rPr>
      <w:lang w:val="hu-HU"/>
    </w:rPr>
  </w:style>
  <w:style w:type="paragraph" w:styleId="BodyText2">
    <w:name w:val="Body Text 2"/>
    <w:basedOn w:val="Normal"/>
    <w:link w:val="BodyText2Char"/>
    <w:uiPriority w:val="99"/>
    <w:unhideWhenUsed/>
    <w:rsid w:val="00AA1D8D"/>
    <w:pPr>
      <w:spacing w:after="120" w:line="480" w:lineRule="auto"/>
    </w:pPr>
    <w:rPr>
      <w:lang w:val="hu-HU"/>
    </w:rPr>
  </w:style>
  <w:style w:type="character" w:customStyle="1" w:styleId="BodyText2Char">
    <w:name w:val="Body Text 2 Char"/>
    <w:basedOn w:val="DefaultParagraphFont"/>
    <w:link w:val="BodyText2"/>
    <w:uiPriority w:val="99"/>
    <w:rsid w:val="00AA1D8D"/>
    <w:rPr>
      <w:lang w:val="hu-HU"/>
    </w:rPr>
  </w:style>
  <w:style w:type="paragraph" w:styleId="BodyText3">
    <w:name w:val="Body Text 3"/>
    <w:basedOn w:val="Normal"/>
    <w:link w:val="BodyText3Char"/>
    <w:uiPriority w:val="99"/>
    <w:unhideWhenUsed/>
    <w:rsid w:val="00AA1D8D"/>
    <w:pPr>
      <w:spacing w:after="120"/>
    </w:pPr>
    <w:rPr>
      <w:sz w:val="16"/>
      <w:szCs w:val="16"/>
      <w:lang w:val="hu-HU"/>
    </w:rPr>
  </w:style>
  <w:style w:type="character" w:customStyle="1" w:styleId="BodyText3Char">
    <w:name w:val="Body Text 3 Char"/>
    <w:basedOn w:val="DefaultParagraphFont"/>
    <w:link w:val="BodyText3"/>
    <w:uiPriority w:val="99"/>
    <w:rsid w:val="00AA1D8D"/>
    <w:rPr>
      <w:sz w:val="16"/>
      <w:szCs w:val="16"/>
      <w:lang w:val="hu-HU"/>
    </w:rPr>
  </w:style>
  <w:style w:type="paragraph" w:styleId="List">
    <w:name w:val="List"/>
    <w:basedOn w:val="Normal"/>
    <w:uiPriority w:val="99"/>
    <w:unhideWhenUsed/>
    <w:rsid w:val="00AA1D8D"/>
    <w:pPr>
      <w:ind w:left="360" w:hanging="360"/>
      <w:contextualSpacing/>
    </w:pPr>
    <w:rPr>
      <w:lang w:val="hu-HU"/>
    </w:rPr>
  </w:style>
  <w:style w:type="paragraph" w:styleId="List2">
    <w:name w:val="List 2"/>
    <w:basedOn w:val="Normal"/>
    <w:uiPriority w:val="99"/>
    <w:unhideWhenUsed/>
    <w:rsid w:val="00326F90"/>
    <w:pPr>
      <w:ind w:left="720" w:hanging="360"/>
      <w:contextualSpacing/>
    </w:pPr>
    <w:rPr>
      <w:lang w:val="hu-HU"/>
    </w:rPr>
  </w:style>
  <w:style w:type="paragraph" w:styleId="List3">
    <w:name w:val="List 3"/>
    <w:basedOn w:val="Normal"/>
    <w:uiPriority w:val="99"/>
    <w:unhideWhenUsed/>
    <w:rsid w:val="00326F90"/>
    <w:pPr>
      <w:ind w:left="1080" w:hanging="360"/>
      <w:contextualSpacing/>
    </w:pPr>
    <w:rPr>
      <w:lang w:val="hu-HU"/>
    </w:rPr>
  </w:style>
  <w:style w:type="paragraph" w:styleId="ListBullet">
    <w:name w:val="List Bullet"/>
    <w:basedOn w:val="Normal"/>
    <w:uiPriority w:val="99"/>
    <w:unhideWhenUsed/>
    <w:rsid w:val="00326F90"/>
    <w:pPr>
      <w:numPr>
        <w:numId w:val="1"/>
      </w:numPr>
      <w:contextualSpacing/>
    </w:pPr>
    <w:rPr>
      <w:lang w:val="hu-HU"/>
    </w:rPr>
  </w:style>
  <w:style w:type="paragraph" w:styleId="ListBullet2">
    <w:name w:val="List Bullet 2"/>
    <w:basedOn w:val="Normal"/>
    <w:uiPriority w:val="99"/>
    <w:unhideWhenUsed/>
    <w:rsid w:val="00326F90"/>
    <w:pPr>
      <w:numPr>
        <w:numId w:val="2"/>
      </w:numPr>
      <w:contextualSpacing/>
    </w:pPr>
    <w:rPr>
      <w:lang w:val="hu-HU"/>
    </w:rPr>
  </w:style>
  <w:style w:type="paragraph" w:styleId="ListBullet3">
    <w:name w:val="List Bullet 3"/>
    <w:basedOn w:val="Normal"/>
    <w:uiPriority w:val="99"/>
    <w:unhideWhenUsed/>
    <w:rsid w:val="00326F90"/>
    <w:pPr>
      <w:numPr>
        <w:numId w:val="3"/>
      </w:numPr>
      <w:contextualSpacing/>
    </w:pPr>
    <w:rPr>
      <w:lang w:val="hu-HU"/>
    </w:rPr>
  </w:style>
  <w:style w:type="paragraph" w:styleId="ListNumber">
    <w:name w:val="List Number"/>
    <w:basedOn w:val="Normal"/>
    <w:uiPriority w:val="99"/>
    <w:unhideWhenUsed/>
    <w:rsid w:val="00326F90"/>
    <w:pPr>
      <w:numPr>
        <w:numId w:val="5"/>
      </w:numPr>
      <w:contextualSpacing/>
    </w:pPr>
    <w:rPr>
      <w:lang w:val="hu-HU"/>
    </w:rPr>
  </w:style>
  <w:style w:type="paragraph" w:styleId="ListNumber2">
    <w:name w:val="List Number 2"/>
    <w:basedOn w:val="Normal"/>
    <w:uiPriority w:val="99"/>
    <w:unhideWhenUsed/>
    <w:rsid w:val="0029639D"/>
    <w:pPr>
      <w:numPr>
        <w:numId w:val="6"/>
      </w:numPr>
      <w:contextualSpacing/>
    </w:pPr>
    <w:rPr>
      <w:lang w:val="hu-HU"/>
    </w:rPr>
  </w:style>
  <w:style w:type="paragraph" w:styleId="ListNumber3">
    <w:name w:val="List Number 3"/>
    <w:basedOn w:val="Normal"/>
    <w:uiPriority w:val="99"/>
    <w:unhideWhenUsed/>
    <w:rsid w:val="0029639D"/>
    <w:pPr>
      <w:numPr>
        <w:numId w:val="7"/>
      </w:numPr>
      <w:contextualSpacing/>
    </w:pPr>
    <w:rPr>
      <w:lang w:val="hu-HU"/>
    </w:rPr>
  </w:style>
  <w:style w:type="paragraph" w:styleId="ListContinue">
    <w:name w:val="List Continue"/>
    <w:basedOn w:val="Normal"/>
    <w:uiPriority w:val="99"/>
    <w:unhideWhenUsed/>
    <w:rsid w:val="0029639D"/>
    <w:pPr>
      <w:spacing w:after="120"/>
      <w:ind w:left="360"/>
      <w:contextualSpacing/>
    </w:pPr>
    <w:rPr>
      <w:lang w:val="hu-HU"/>
    </w:rPr>
  </w:style>
  <w:style w:type="paragraph" w:styleId="ListContinue2">
    <w:name w:val="List Continue 2"/>
    <w:basedOn w:val="Normal"/>
    <w:uiPriority w:val="99"/>
    <w:unhideWhenUsed/>
    <w:rsid w:val="0029639D"/>
    <w:pPr>
      <w:spacing w:after="120"/>
      <w:ind w:left="720"/>
      <w:contextualSpacing/>
    </w:pPr>
    <w:rPr>
      <w:lang w:val="hu-HU"/>
    </w:rPr>
  </w:style>
  <w:style w:type="paragraph" w:styleId="ListContinue3">
    <w:name w:val="List Continue 3"/>
    <w:basedOn w:val="Normal"/>
    <w:uiPriority w:val="99"/>
    <w:unhideWhenUsed/>
    <w:rsid w:val="0029639D"/>
    <w:pPr>
      <w:spacing w:after="120"/>
      <w:ind w:left="1080"/>
      <w:contextualSpacing/>
    </w:pPr>
    <w:rPr>
      <w:lang w:val="hu-HU"/>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hu-HU"/>
    </w:rPr>
  </w:style>
  <w:style w:type="character" w:customStyle="1" w:styleId="MacroTextChar">
    <w:name w:val="Macro Text Char"/>
    <w:basedOn w:val="DefaultParagraphFont"/>
    <w:link w:val="MacroText"/>
    <w:uiPriority w:val="99"/>
    <w:rsid w:val="0029639D"/>
    <w:rPr>
      <w:rFonts w:ascii="Courier" w:hAnsi="Courier"/>
      <w:sz w:val="20"/>
      <w:szCs w:val="20"/>
      <w:lang w:val="hu-HU"/>
    </w:rPr>
  </w:style>
  <w:style w:type="paragraph" w:styleId="Quote">
    <w:name w:val="Quote"/>
    <w:basedOn w:val="Normal"/>
    <w:next w:val="Normal"/>
    <w:link w:val="QuoteChar"/>
    <w:uiPriority w:val="29"/>
    <w:qFormat/>
    <w:rsid w:val="00FC693F"/>
    <w:rPr>
      <w:i/>
      <w:iCs/>
      <w:color w:val="000000" w:themeColor="text1"/>
      <w:lang w:val="hu-HU"/>
    </w:rPr>
  </w:style>
  <w:style w:type="character" w:customStyle="1" w:styleId="QuoteChar">
    <w:name w:val="Quote Char"/>
    <w:basedOn w:val="DefaultParagraphFont"/>
    <w:link w:val="Quote"/>
    <w:uiPriority w:val="29"/>
    <w:rsid w:val="00FC693F"/>
    <w:rPr>
      <w:i/>
      <w:iCs/>
      <w:color w:val="000000" w:themeColor="text1"/>
      <w:lang w:val="hu-HU"/>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hu-HU"/>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hu-HU"/>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hu-HU"/>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hu-HU"/>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hu-HU"/>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hu-HU"/>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hu-HU"/>
    </w:rPr>
  </w:style>
  <w:style w:type="character" w:styleId="Strong">
    <w:name w:val="Strong"/>
    <w:basedOn w:val="DefaultParagraphFont"/>
    <w:uiPriority w:val="22"/>
    <w:qFormat/>
    <w:rsid w:val="00FC693F"/>
    <w:rPr>
      <w:b/>
      <w:bCs/>
      <w:lang w:val="hu-HU"/>
    </w:rPr>
  </w:style>
  <w:style w:type="character" w:styleId="Emphasis">
    <w:name w:val="Emphasis"/>
    <w:basedOn w:val="DefaultParagraphFont"/>
    <w:uiPriority w:val="20"/>
    <w:qFormat/>
    <w:rsid w:val="00FC693F"/>
    <w:rPr>
      <w:i/>
      <w:iCs/>
      <w:lang w:val="hu-HU"/>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hu-HU"/>
    </w:rPr>
  </w:style>
  <w:style w:type="character" w:customStyle="1" w:styleId="IntenseQuoteChar">
    <w:name w:val="Intense Quote Char"/>
    <w:basedOn w:val="DefaultParagraphFont"/>
    <w:link w:val="IntenseQuote"/>
    <w:uiPriority w:val="30"/>
    <w:rsid w:val="00FC693F"/>
    <w:rPr>
      <w:b/>
      <w:bCs/>
      <w:i/>
      <w:iCs/>
      <w:color w:val="4F81BD" w:themeColor="accent1"/>
      <w:lang w:val="hu-HU"/>
    </w:rPr>
  </w:style>
  <w:style w:type="character" w:styleId="SubtleEmphasis">
    <w:name w:val="Subtle Emphasis"/>
    <w:basedOn w:val="DefaultParagraphFont"/>
    <w:uiPriority w:val="19"/>
    <w:qFormat/>
    <w:rsid w:val="00FC693F"/>
    <w:rPr>
      <w:i/>
      <w:iCs/>
      <w:color w:val="808080" w:themeColor="text1" w:themeTint="7F"/>
      <w:lang w:val="hu-HU"/>
    </w:rPr>
  </w:style>
  <w:style w:type="character" w:styleId="IntenseEmphasis">
    <w:name w:val="Intense Emphasis"/>
    <w:basedOn w:val="DefaultParagraphFont"/>
    <w:uiPriority w:val="21"/>
    <w:qFormat/>
    <w:rsid w:val="00FC693F"/>
    <w:rPr>
      <w:b/>
      <w:bCs/>
      <w:i/>
      <w:iCs/>
      <w:color w:val="4F81BD" w:themeColor="accent1"/>
      <w:lang w:val="hu-HU"/>
    </w:rPr>
  </w:style>
  <w:style w:type="character" w:styleId="SubtleReference">
    <w:name w:val="Subtle Reference"/>
    <w:basedOn w:val="DefaultParagraphFont"/>
    <w:uiPriority w:val="31"/>
    <w:qFormat/>
    <w:rsid w:val="00FC693F"/>
    <w:rPr>
      <w:smallCaps/>
      <w:color w:val="C0504D" w:themeColor="accent2"/>
      <w:u w:val="single"/>
      <w:lang w:val="hu-HU"/>
    </w:rPr>
  </w:style>
  <w:style w:type="character" w:styleId="IntenseReference">
    <w:name w:val="Intense Reference"/>
    <w:basedOn w:val="DefaultParagraphFont"/>
    <w:uiPriority w:val="32"/>
    <w:qFormat/>
    <w:rsid w:val="00FC693F"/>
    <w:rPr>
      <w:b/>
      <w:bCs/>
      <w:smallCaps/>
      <w:color w:val="C0504D" w:themeColor="accent2"/>
      <w:spacing w:val="5"/>
      <w:u w:val="single"/>
      <w:lang w:val="hu-HU"/>
    </w:rPr>
  </w:style>
  <w:style w:type="character" w:styleId="BookTitle">
    <w:name w:val="Book Title"/>
    <w:basedOn w:val="DefaultParagraphFont"/>
    <w:uiPriority w:val="33"/>
    <w:qFormat/>
    <w:rsid w:val="00FC693F"/>
    <w:rPr>
      <w:b/>
      <w:bCs/>
      <w:smallCaps/>
      <w:spacing w:val="5"/>
      <w:lang w:val="hu-HU"/>
    </w:rPr>
  </w:style>
  <w:style w:type="paragraph" w:styleId="TOCHeading">
    <w:name w:val="TOC Heading"/>
    <w:basedOn w:val="Heading1"/>
    <w:next w:val="Normal"/>
    <w:uiPriority w:val="39"/>
    <w:semiHidden/>
    <w:unhideWhenUsed/>
    <w:qFormat/>
    <w:rsid w:val="00FC693F"/>
    <w:pPr>
      <w:outlineLvl w:val="9"/>
    </w:pPr>
    <w:rPr>
      <w:lang w:val="hu-HU"/>
    </w:rPr>
  </w:style>
  <w:style w:type="table" w:styleId="TableGrid">
    <w:name w:val="Table Grid"/>
    <w:basedOn w:val="TableNormal"/>
    <w:uiPriority w:val="59"/>
    <w:rsid w:val="00FC693F"/>
    <w:pPr>
      <w:spacing w:after="0" w:line="240" w:lineRule="auto"/>
    </w:pPr>
    <w:rPr>
      <w:lang w:val="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hu-H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hu-H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hu-HU"/>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hu-HU"/>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hu-HU"/>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hu-HU"/>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hu-HU"/>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lang w:val="hu-H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lang w:val="hu-H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lang w:val="hu-HU"/>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lang w:val="hu-H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lang w:val="hu-HU"/>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lang w:val="hu-HU"/>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lang w:val="hu-HU"/>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lang w:val="hu-H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lang w:val="hu-H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lang w:val="hu-HU"/>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lang w:val="hu-H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lang w:val="hu-HU"/>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lang w:val="hu-HU"/>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lang w:val="hu-HU"/>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lang w:val="hu-HU"/>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lang w:val="hu-HU"/>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lang w:val="hu-HU"/>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lang w:val="hu-HU"/>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lang w:val="hu-HU"/>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lang w:val="hu-HU"/>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lang w:val="hu-HU"/>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lang w:val="hu-H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lang w:val="hu-H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lang w:val="hu-H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lang w:val="hu-H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lang w:val="hu-H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lang w:val="hu-H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lang w:val="hu-H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hu-H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hu-H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hu-HU"/>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hu-HU"/>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hu-HU"/>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hu-HU"/>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hu-HU"/>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hu-H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hu-H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hu-HU"/>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hu-H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hu-HU"/>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hu-HU"/>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hu-HU"/>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lang w:val="hu-HU"/>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lang w:val="hu-HU"/>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lang w:val="hu-HU"/>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lang w:val="hu-HU"/>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lang w:val="hu-HU"/>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lang w:val="hu-HU"/>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lang w:val="hu-HU"/>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hu-H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hu-H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hu-HU"/>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hu-H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hu-HU"/>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hu-HU"/>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hu-HU"/>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lang w:val="hu-H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lang w:val="hu-H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lang w:val="hu-H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lang w:val="hu-H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lang w:val="hu-H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lang w:val="hu-H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lang w:val="hu-H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hu-HU"/>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hu-HU"/>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hu-HU"/>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hu-HU"/>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hu-HU"/>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hu-HU"/>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hu-HU"/>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hu-HU"/>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lang w:val="hu-HU"/>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lang w:val="hu-HU"/>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lang w:val="hu-HU"/>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hu-HU"/>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lang w:val="hu-HU"/>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lang w:val="hu-HU"/>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lang w:val="hu-HU"/>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hu-HU"/>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hu-HU"/>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hu-HU"/>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hu-HU"/>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hu-HU"/>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hu-HU"/>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hu-H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hu-H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hu-H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hu-H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hu-H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hu-H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hu-H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Szabályzat az elektronikus megfigyelőrendszer üzemeltetéséről</dc:title>
  <dc:subject>Kamerás megfigyelő rendszer adatvédelmi és adatkezelési szabályzata</dc:subject>
  <dc:creator>Belváros-Lipótváros Közterület-felügyelet</dc:creator>
  <cp:keywords>akadálymentes, kamerarendszer, adatkezelés, szabályzat</cp:keywords>
  <dc:description>A dokumentum a szkennelt PDF akadálymentesített, OCR alapján újraszerkesztett változata.</dc:description>
  <cp:lastModifiedBy/>
  <cp:revision>1</cp:revision>
  <dcterms:created xsi:type="dcterms:W3CDTF">2013-12-23T23:15:00Z</dcterms:created>
  <dcterms:modified xsi:type="dcterms:W3CDTF">2013-12-23T23:15:00Z</dcterms:modified>
  <cp:category/>
</cp:coreProperties>
</file>